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EXTENSION OF TIME CLAIM</w:t>
            </w:r>
          </w:p>
          <w:p>
            <w:pPr>
              <w:jc w:val="right"/>
            </w:pPr>
            <w:r>
              <w:rPr>
                <w:rFonts w:ascii="Arial" w:cs="Arial" w:eastAsia="Arial" w:hAnsi="Arial"/>
                <w:b w:val="false"/>
                <w:bCs w:val="false"/>
                <w:i w:val="false"/>
                <w:iCs w:val="false"/>
                <w:color w:val="C9CDD4"/>
                <w:sz w:val="15"/>
                <w:szCs w:val="15"/>
              </w:rPr>
              <w:t xml:space="preserve">FIDIC 2017  ·  Sub-Clause 8.5</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CLAIM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Claim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[EOT-001]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FIDIC Red Book 2017]</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submitted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Related Notice of Claim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[Ref and date]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Current Time for Completion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 (Contractor)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 (Engineer)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Sub-Clause 8.5 (2017 editions; 8.4 in the 1999 editions) the Contractor is entitled to an extension of the Time for Completion where completion is or will be delayed by a listed cause, including Variations, exceptionally adverse climatic conditions, unforeseeable shortages, and delay or impediment caused by the Employer or Employer’s Personnel. The claim is made in accordance with Sub-Clause 20.2, so the 28 day Notice of Claim and 84 day fully detailed claim time limits apply.</w:t>
      </w:r>
    </w:p>
    <w:p>
      <w:pPr>
        <w:pBdr>
          <w:bottom w:val="single" w:color="1A2744" w:sz="8"/>
        </w:pBdr>
        <w:spacing w:after="80" w:before="220"/>
      </w:pPr>
      <w:r>
        <w:rPr>
          <w:rFonts w:ascii="Arial" w:cs="Arial" w:eastAsia="Arial" w:hAnsi="Arial"/>
          <w:b/>
          <w:bCs/>
          <w:i w:val="false"/>
          <w:iCs w:val="false"/>
          <w:color w:val="1A2744"/>
          <w:sz w:val="20"/>
          <w:szCs w:val="20"/>
        </w:rPr>
        <w:t xml:space="preserve">CAUSE OF DELAY</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[Identify the cause of delay and the Sub-Clause 8.5 limb or other Sub-Clause relied on. Describe the delaying event and how it affected the critical path.]</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DELAY ANALYSIS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Method of analysis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time impact / windows analysis]</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Baseline / current programme reference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[Programme ref and date]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Activities on the critical path affected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[Activities]</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Delay to Time for Completion</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[calendar days]</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Revised Time for Completion sought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bl>
    <w:p>
      <w:pPr>
        <w:spacing w:after="100" w:before="40"/>
      </w:pPr>
      <w:r>
        <w:rPr>
          <w:rFonts w:ascii="Arial" w:cs="Arial" w:eastAsia="Arial" w:hAnsi="Arial"/>
          <w:b w:val="false"/>
          <w:bCs w:val="false"/>
          <w:i/>
          <w:iCs/>
          <w:color w:val="6B7280"/>
          <w:sz w:val="16"/>
          <w:szCs w:val="16"/>
        </w:rPr>
        <w:t xml:space="preserve">Guidance: attach the programme analysis demonstrating the effect on the critical path. Concurrency, mitigation and the quality of the supporting records are usually where EOT claims are won or lost.</w:t>
      </w:r>
    </w:p>
    <w:p>
      <w:pPr>
        <w:pBdr>
          <w:bottom w:val="single" w:color="1A2744" w:sz="8"/>
        </w:pBdr>
        <w:spacing w:after="80" w:before="220"/>
      </w:pPr>
      <w:r>
        <w:rPr>
          <w:rFonts w:ascii="Arial" w:cs="Arial" w:eastAsia="Arial" w:hAnsi="Arial"/>
          <w:b/>
          <w:bCs/>
          <w:i w:val="false"/>
          <w:iCs w:val="false"/>
          <w:color w:val="1A2744"/>
          <w:sz w:val="20"/>
          <w:szCs w:val="20"/>
        </w:rPr>
        <w:t xml:space="preserve">SUPPORTING RECORDS ATTACHED</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[Programmes, progress records, site diaries, weather records, correspondence and instructions relied on.]</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(Contractor)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(Engineer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2026-07-12T09:37:21.879Z</dcterms:created>
  <dcterms:modified xsi:type="dcterms:W3CDTF">2026-07-12T09:37:21.879Z</dcterms:modified>
</cp:coreProperties>
</file>

<file path=docProps/custom.xml><?xml version="1.0" encoding="utf-8"?>
<Properties xmlns="http://schemas.openxmlformats.org/officeDocument/2006/custom-properties" xmlns:vt="http://schemas.openxmlformats.org/officeDocument/2006/docPropsVTypes"/>
</file>