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FULLY DETAILED CLAIM</w:t>
            </w:r>
          </w:p>
          <w:p>
            <w:pPr>
              <w:jc w:val="right"/>
            </w:pPr>
            <w:r>
              <w:rPr>
                <w:rFonts w:ascii="Arial" w:cs="Arial" w:eastAsia="Arial" w:hAnsi="Arial"/>
                <w:b w:val="false"/>
                <w:bCs w:val="false"/>
                <w:i w:val="false"/>
                <w:iCs w:val="false"/>
                <w:color w:val="C9CDD4"/>
                <w:sz w:val="15"/>
                <w:szCs w:val="15"/>
              </w:rPr>
              <w:t xml:space="preserve">FIDIC 2017  ·  Sub-Clause 20.2.4</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SUBMISSION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Claim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[CLM-001]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FIDIC Yellow Book 2017]</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submitted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Related Notice of Claim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[Ref and date]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Interim or final</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[Interim / Final]</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 (Engineer / Employer)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bl>
    <w:p>
      <w:pPr>
        <w:spacing w:after="100" w:before="40"/>
      </w:pPr>
      <w:r>
        <w:rPr>
          <w:rFonts w:ascii="Arial" w:cs="Arial" w:eastAsia="Arial" w:hAnsi="Arial"/>
          <w:b w:val="false"/>
          <w:bCs w:val="false"/>
          <w:i/>
          <w:iCs/>
          <w:color w:val="6B7280"/>
          <w:sz w:val="16"/>
          <w:szCs w:val="16"/>
        </w:rPr>
        <w:t xml:space="preserve">Guidance: under Sub-Clause 20.2.4 the fully detailed Claim is submitted within 84 days of the claiming party becoming aware, or such other period as proposed and agreed. It must include a detailed description of the event, a statement of the contractual and/or legal basis of the claim, the contemporary records relied on and detailed supporting particulars of the amount and/or extension claimed. Where the event has a continuing effect, submit interim claims monthly and a final claim within 28 days of the end of the effects.</w:t>
      </w:r>
    </w:p>
    <w:p>
      <w:pPr>
        <w:pBdr>
          <w:bottom w:val="single" w:color="1A2744" w:sz="8"/>
        </w:pBdr>
        <w:spacing w:after="80" w:before="220"/>
      </w:pPr>
      <w:r>
        <w:rPr>
          <w:rFonts w:ascii="Arial" w:cs="Arial" w:eastAsia="Arial" w:hAnsi="Arial"/>
          <w:b/>
          <w:bCs/>
          <w:i w:val="false"/>
          <w:iCs w:val="false"/>
          <w:color w:val="1A2744"/>
          <w:sz w:val="20"/>
          <w:szCs w:val="20"/>
        </w:rPr>
        <w:t xml:space="preserve">DETAILED DESCRIPTION OF THE EVENT OR CIRCUMSTANCE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[Full narrative of the event: what happened, when, where on the works, the parties involved and the sequence of cause and effect.]</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CONTRACTUAL AND LEGAL BASIS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[State each Sub-Clause relied on, for example 1.9 delayed drawings, 2.1 right of access, 4.12 unforeseeable physical conditions, 8.5 extension of Time for Completion, 13.3 variations, and any legal basis relied on in addition to the contract.]</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AMOUNT CLAIMED AND/OR EXTENSION OF TIME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Extension of Time for Completion</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[calendar days]</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Prolongation costs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Disruption and productivity loss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Other Cost items (specify)</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Profit (where the Sub-Clause allows Cost Plus Profit)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Total additional payment claimed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bl>
    <w:p>
      <w:pPr>
        <w:spacing w:after="100" w:before="40"/>
      </w:pPr>
      <w:r>
        <w:rPr>
          <w:rFonts w:ascii="Arial" w:cs="Arial" w:eastAsia="Arial" w:hAnsi="Arial"/>
          <w:b w:val="false"/>
          <w:bCs w:val="false"/>
          <w:i/>
          <w:iCs/>
          <w:color w:val="6B7280"/>
          <w:sz w:val="16"/>
          <w:szCs w:val="16"/>
        </w:rPr>
        <w:t xml:space="preserve">Guidance: distinguish between heads claimed as Cost and those claimed as Cost Plus Profit; entitlement to profit depends on the Sub-Clause relied on. Support every figure with contemporary records.</w:t>
      </w:r>
    </w:p>
    <w:p>
      <w:pPr>
        <w:pBdr>
          <w:bottom w:val="single" w:color="1A2744" w:sz="8"/>
        </w:pBdr>
        <w:spacing w:after="80" w:before="220"/>
      </w:pPr>
      <w:r>
        <w:rPr>
          <w:rFonts w:ascii="Arial" w:cs="Arial" w:eastAsia="Arial" w:hAnsi="Arial"/>
          <w:b/>
          <w:bCs/>
          <w:i w:val="false"/>
          <w:iCs w:val="false"/>
          <w:color w:val="1A2744"/>
          <w:sz w:val="20"/>
          <w:szCs w:val="20"/>
        </w:rPr>
        <w:t xml:space="preserve">CONTEMPORARY RECORDS AND SUPPORTING PARTICULARS ATTACHED</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[List the records attached: site diaries, progress reports, programme analyses, correspondence, cost records, invoices, photographs.]</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(claiming party)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(Engineer / receiving party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2026-07-12T09:37:21.713Z</dcterms:created>
  <dcterms:modified xsi:type="dcterms:W3CDTF">2026-07-12T09:37:21.713Z</dcterms:modified>
</cp:coreProperties>
</file>

<file path=docProps/custom.xml><?xml version="1.0" encoding="utf-8"?>
<Properties xmlns="http://schemas.openxmlformats.org/officeDocument/2006/custom-properties" xmlns:vt="http://schemas.openxmlformats.org/officeDocument/2006/docPropsVTypes"/>
</file>